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EB23" w14:textId="77777777" w:rsidR="00D71264" w:rsidRDefault="00D71264">
      <w:pPr>
        <w:rPr>
          <w:b/>
        </w:rPr>
      </w:pPr>
      <w:bookmarkStart w:id="0" w:name="OLE_LINK1"/>
      <w:bookmarkStart w:id="1" w:name="OLE_LINK2"/>
      <w:bookmarkStart w:id="2" w:name="_GoBack"/>
      <w:bookmarkEnd w:id="2"/>
    </w:p>
    <w:p w14:paraId="11FF9DE3" w14:textId="68D239A7" w:rsidR="00D71264" w:rsidRDefault="00D71264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63FA9BF3" wp14:editId="203DA2C7">
            <wp:extent cx="5537200" cy="774065"/>
            <wp:effectExtent l="0" t="0" r="6350" b="6985"/>
            <wp:docPr id="10" name="Bilde 9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 descr="Et bilde som inneholder tekst&#10;&#10;Automatisk generert beskrivels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-1" t="76952" r="3882"/>
                    <a:stretch/>
                  </pic:blipFill>
                  <pic:spPr bwMode="auto">
                    <a:xfrm>
                      <a:off x="0" y="0"/>
                      <a:ext cx="5537200" cy="7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11FEA" w14:textId="77777777" w:rsidR="00D71264" w:rsidRDefault="00D71264">
      <w:pPr>
        <w:rPr>
          <w:b/>
        </w:rPr>
      </w:pPr>
    </w:p>
    <w:p w14:paraId="472BE1DE" w14:textId="6167FC91" w:rsidR="00F460B2" w:rsidRPr="00E67065" w:rsidRDefault="0095708C">
      <w:pPr>
        <w:rPr>
          <w:b/>
        </w:rPr>
      </w:pPr>
      <w:r w:rsidRPr="00E67065">
        <w:rPr>
          <w:b/>
        </w:rPr>
        <w:t>Forespørsel om de</w:t>
      </w:r>
      <w:r w:rsidR="00E67065" w:rsidRPr="00E67065">
        <w:rPr>
          <w:b/>
        </w:rPr>
        <w:t>ltakelse i TUBA-WISP II-studien</w:t>
      </w:r>
    </w:p>
    <w:p w14:paraId="7984CF0C" w14:textId="3E8E9ED7" w:rsidR="0095708C" w:rsidRDefault="002A3754">
      <w:r>
        <w:t xml:space="preserve">Vi ønsker å informere deg om muligheten for å delta i en internasjonal studie, TUBA-WISP II-studien. </w:t>
      </w:r>
      <w:r w:rsidR="009A6F90">
        <w:t>Du får denne informasjonen fordi d</w:t>
      </w:r>
      <w:r w:rsidR="0095708C">
        <w:t>u har væ</w:t>
      </w:r>
      <w:r w:rsidR="00AF62A3">
        <w:t>rt til genetisk veiledning</w:t>
      </w:r>
      <w:r w:rsidR="0095708C">
        <w:t xml:space="preserve"> og det er påvist en genfeil i </w:t>
      </w:r>
      <w:r w:rsidR="0095708C" w:rsidRPr="0095708C">
        <w:rPr>
          <w:i/>
        </w:rPr>
        <w:t>BRCA1</w:t>
      </w:r>
      <w:r w:rsidR="0095708C">
        <w:t xml:space="preserve"> eller </w:t>
      </w:r>
      <w:r w:rsidR="0095708C" w:rsidRPr="0095708C">
        <w:rPr>
          <w:i/>
        </w:rPr>
        <w:t>BRCA2</w:t>
      </w:r>
      <w:r w:rsidR="0095708C">
        <w:t xml:space="preserve"> hos deg. </w:t>
      </w:r>
      <w:r w:rsidR="009A6F90">
        <w:t>I tillegg har du rett alder for å kunne delta i studien, men utover dette</w:t>
      </w:r>
      <w:r w:rsidR="00E67065">
        <w:t xml:space="preserve"> har</w:t>
      </w:r>
      <w:r w:rsidR="009A6F90">
        <w:t xml:space="preserve"> vi</w:t>
      </w:r>
      <w:r w:rsidR="00E67065">
        <w:t xml:space="preserve"> ikke nok opplysninger om deg til å avgjøre om studien kan være aktuell for deg.</w:t>
      </w:r>
      <w:r w:rsidR="0095708C">
        <w:t xml:space="preserve"> </w:t>
      </w:r>
    </w:p>
    <w:p w14:paraId="7708088D" w14:textId="0070849D" w:rsidR="00C406C9" w:rsidRDefault="00C847D6" w:rsidP="00C406C9">
      <w:pPr>
        <w:rPr>
          <w:sz w:val="23"/>
          <w:szCs w:val="23"/>
        </w:rPr>
      </w:pPr>
      <w:r w:rsidRPr="00C847D6">
        <w:rPr>
          <w:rFonts w:ascii="Calibri" w:hAnsi="Calibri"/>
          <w:b/>
        </w:rPr>
        <w:t>Bakgrunn for TUBA-WISP II-studien</w:t>
      </w:r>
      <w:r>
        <w:rPr>
          <w:rFonts w:ascii="Calibri" w:hAnsi="Calibri"/>
        </w:rPr>
        <w:br/>
      </w:r>
      <w:r w:rsidR="00E67065">
        <w:rPr>
          <w:rFonts w:ascii="Calibri" w:hAnsi="Calibri"/>
        </w:rPr>
        <w:t xml:space="preserve">Kvinner med genfeil i </w:t>
      </w:r>
      <w:r w:rsidR="00E67065" w:rsidRPr="002A3754">
        <w:rPr>
          <w:rFonts w:ascii="Calibri" w:hAnsi="Calibri"/>
          <w:i/>
        </w:rPr>
        <w:t>BRCA1</w:t>
      </w:r>
      <w:r w:rsidR="00E67065">
        <w:rPr>
          <w:rFonts w:ascii="Calibri" w:hAnsi="Calibri"/>
        </w:rPr>
        <w:t xml:space="preserve">- eller </w:t>
      </w:r>
      <w:r w:rsidR="00E67065" w:rsidRPr="002A3754">
        <w:rPr>
          <w:rFonts w:ascii="Calibri" w:hAnsi="Calibri"/>
          <w:i/>
        </w:rPr>
        <w:t>BRCA2</w:t>
      </w:r>
      <w:r w:rsidR="00E67065">
        <w:rPr>
          <w:rFonts w:ascii="Calibri" w:hAnsi="Calibri"/>
        </w:rPr>
        <w:t>- genene får tilbud om å fjerne eggledere og eggstokker forbyggende (risikoreduserende salpingo-ooforektomi, RRSO). Denne operasjonen er den eneste effektive måten å redusere risikoen for eggstokkreft. Den alvorligste og viktigste konsekvensen ved forebyggende kirurgi der både eggstokkene og egglederne fjernes, er tidlig overgangsalder.</w:t>
      </w:r>
      <w:r w:rsidR="00C406C9">
        <w:rPr>
          <w:rFonts w:ascii="Calibri" w:hAnsi="Calibri"/>
        </w:rPr>
        <w:t xml:space="preserve"> </w:t>
      </w:r>
      <w:r w:rsidR="00A71D53">
        <w:rPr>
          <w:rFonts w:ascii="Calibri" w:hAnsi="Calibri"/>
        </w:rPr>
        <w:t xml:space="preserve">Å komme i tidlig overgangsalder </w:t>
      </w:r>
      <w:r w:rsidR="00A71D53">
        <w:rPr>
          <w:sz w:val="23"/>
          <w:szCs w:val="23"/>
        </w:rPr>
        <w:t>kan ha negative konsekvenser både på kort og på lang sikt</w:t>
      </w:r>
      <w:r w:rsidR="00C406C9">
        <w:rPr>
          <w:sz w:val="23"/>
          <w:szCs w:val="23"/>
        </w:rPr>
        <w:t>.</w:t>
      </w:r>
    </w:p>
    <w:p w14:paraId="0A3CF98B" w14:textId="77777777" w:rsidR="00E67065" w:rsidRDefault="00C406C9" w:rsidP="00E67065">
      <w:pPr>
        <w:rPr>
          <w:sz w:val="23"/>
          <w:szCs w:val="23"/>
        </w:rPr>
      </w:pPr>
      <w:r>
        <w:rPr>
          <w:sz w:val="23"/>
          <w:szCs w:val="23"/>
        </w:rPr>
        <w:t xml:space="preserve">Potensielt fins det en alternativ metode som kan forebygge eggstokkreft uten å </w:t>
      </w:r>
      <w:r w:rsidR="00A71D53">
        <w:rPr>
          <w:sz w:val="23"/>
          <w:szCs w:val="23"/>
        </w:rPr>
        <w:t>sette i gang</w:t>
      </w:r>
      <w:r>
        <w:rPr>
          <w:sz w:val="23"/>
          <w:szCs w:val="23"/>
        </w:rPr>
        <w:t xml:space="preserve"> tidlig overgangsalder: å fjerne egglederne først, for så å fjerne egg</w:t>
      </w:r>
      <w:r w:rsidR="00C847D6">
        <w:rPr>
          <w:sz w:val="23"/>
          <w:szCs w:val="23"/>
        </w:rPr>
        <w:t xml:space="preserve">stokkene på et senere tidspunkt. </w:t>
      </w:r>
      <w:r>
        <w:rPr>
          <w:sz w:val="23"/>
          <w:szCs w:val="23"/>
        </w:rPr>
        <w:t>Denne alternative metoden er basert på forskning som har vist at eggstokkreft som oftest starter i egglederne.</w:t>
      </w:r>
    </w:p>
    <w:p w14:paraId="603E07C3" w14:textId="77777777" w:rsidR="00C847D6" w:rsidRPr="00C847D6" w:rsidRDefault="00C847D6" w:rsidP="00E67065">
      <w:pPr>
        <w:rPr>
          <w:sz w:val="23"/>
          <w:szCs w:val="23"/>
        </w:rPr>
      </w:pPr>
      <w:r w:rsidRPr="00C847D6">
        <w:rPr>
          <w:b/>
          <w:sz w:val="23"/>
          <w:szCs w:val="23"/>
        </w:rPr>
        <w:t>Målet med TUBA-WISP II-studien</w:t>
      </w:r>
      <w:r>
        <w:rPr>
          <w:sz w:val="23"/>
          <w:szCs w:val="23"/>
        </w:rPr>
        <w:br/>
        <w:t xml:space="preserve">TUBA-WISP II-studien skal undersøke om det er like trygt for kvinner med genfeil i </w:t>
      </w:r>
      <w:r w:rsidRPr="00C847D6">
        <w:rPr>
          <w:i/>
          <w:sz w:val="23"/>
          <w:szCs w:val="23"/>
        </w:rPr>
        <w:t>BRCA1</w:t>
      </w:r>
      <w:r>
        <w:rPr>
          <w:sz w:val="23"/>
          <w:szCs w:val="23"/>
        </w:rPr>
        <w:t xml:space="preserve"> eller </w:t>
      </w:r>
      <w:r w:rsidRPr="00C847D6">
        <w:rPr>
          <w:i/>
          <w:sz w:val="23"/>
          <w:szCs w:val="23"/>
        </w:rPr>
        <w:t>BRCA2</w:t>
      </w:r>
      <w:r>
        <w:rPr>
          <w:sz w:val="23"/>
          <w:szCs w:val="23"/>
        </w:rPr>
        <w:t xml:space="preserve"> å fjerne egglederne først og så fjerne eggstokkene på et senere tidspunkt (alternativ metode), som å fjerne egglederne og eggstokkene samtidig (standard metode).</w:t>
      </w:r>
    </w:p>
    <w:p w14:paraId="46BC9B82" w14:textId="77777777" w:rsidR="00E67065" w:rsidRDefault="00E67065" w:rsidP="00E67065">
      <w:pPr>
        <w:rPr>
          <w:b/>
          <w:sz w:val="23"/>
          <w:szCs w:val="23"/>
        </w:rPr>
      </w:pPr>
      <w:r>
        <w:rPr>
          <w:b/>
          <w:sz w:val="23"/>
          <w:szCs w:val="23"/>
        </w:rPr>
        <w:t>Hvem kan delta i studien?</w:t>
      </w:r>
    </w:p>
    <w:p w14:paraId="4CA691A2" w14:textId="77777777" w:rsidR="00E67065" w:rsidRDefault="00E67065" w:rsidP="00E67065">
      <w:pPr>
        <w:pStyle w:val="Listeavsnit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Kvinner som har genfeil i BRCA1 eller BRCA2</w:t>
      </w:r>
    </w:p>
    <w:p w14:paraId="2D2DD1AA" w14:textId="77777777" w:rsidR="00E67065" w:rsidRDefault="00E67065" w:rsidP="00E67065">
      <w:pPr>
        <w:pStyle w:val="Listeavsnit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Er i alderen:</w:t>
      </w:r>
    </w:p>
    <w:p w14:paraId="51D12A1E" w14:textId="77777777" w:rsidR="00E67065" w:rsidRDefault="00E67065" w:rsidP="00E67065">
      <w:pPr>
        <w:pStyle w:val="Listeavsnit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BRCA1: 25-40 år</w:t>
      </w:r>
    </w:p>
    <w:p w14:paraId="6049A60D" w14:textId="77777777" w:rsidR="00E67065" w:rsidRDefault="00E67065" w:rsidP="00E67065">
      <w:pPr>
        <w:pStyle w:val="Listeavsnit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BRCA2: 25-45 år</w:t>
      </w:r>
    </w:p>
    <w:p w14:paraId="047422CF" w14:textId="77777777" w:rsidR="00E67065" w:rsidRDefault="00E67065" w:rsidP="00E67065">
      <w:pPr>
        <w:pStyle w:val="Listeavsnit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Er ferdig med å få barn</w:t>
      </w:r>
    </w:p>
    <w:p w14:paraId="766809C1" w14:textId="77777777" w:rsidR="00E67065" w:rsidRDefault="00A71D53" w:rsidP="00E67065">
      <w:pPr>
        <w:pStyle w:val="Listeavsnit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Ikke har kommet i overgangsalderen (e</w:t>
      </w:r>
      <w:r w:rsidR="00E67065">
        <w:rPr>
          <w:sz w:val="23"/>
          <w:szCs w:val="23"/>
        </w:rPr>
        <w:t>r premenopausale</w:t>
      </w:r>
      <w:r>
        <w:rPr>
          <w:sz w:val="23"/>
          <w:szCs w:val="23"/>
        </w:rPr>
        <w:t>)</w:t>
      </w:r>
    </w:p>
    <w:p w14:paraId="104B37EA" w14:textId="77777777" w:rsidR="00E67065" w:rsidRDefault="00E67065" w:rsidP="00E67065">
      <w:pPr>
        <w:pStyle w:val="Listeavsnit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Har minst en eggleder</w:t>
      </w:r>
    </w:p>
    <w:p w14:paraId="30ACB6CB" w14:textId="77777777" w:rsidR="002A3754" w:rsidRPr="002A3754" w:rsidRDefault="00E67065" w:rsidP="00E67065">
      <w:pPr>
        <w:pStyle w:val="Listeavsnitt"/>
        <w:numPr>
          <w:ilvl w:val="0"/>
          <w:numId w:val="1"/>
        </w:numPr>
        <w:rPr>
          <w:b/>
          <w:sz w:val="23"/>
          <w:szCs w:val="23"/>
        </w:rPr>
      </w:pPr>
      <w:r w:rsidRPr="002A3754">
        <w:rPr>
          <w:sz w:val="23"/>
          <w:szCs w:val="23"/>
        </w:rPr>
        <w:t>Kan ha hatt kreft tidligere (ikke eggstokkreft), hvis behandlingen er fullført</w:t>
      </w:r>
    </w:p>
    <w:p w14:paraId="6CED58B8" w14:textId="77777777" w:rsidR="002A3754" w:rsidRDefault="002A3754" w:rsidP="00E67065">
      <w:pPr>
        <w:rPr>
          <w:b/>
          <w:sz w:val="23"/>
          <w:szCs w:val="23"/>
        </w:rPr>
      </w:pPr>
      <w:r>
        <w:rPr>
          <w:sz w:val="23"/>
          <w:szCs w:val="23"/>
        </w:rPr>
        <w:t>Du kan bli med i studien i studien når du er ferdig med å få barn, du velger selv hvilken metode du foretrekker.</w:t>
      </w:r>
    </w:p>
    <w:p w14:paraId="687175EA" w14:textId="77777777" w:rsidR="00E67065" w:rsidRDefault="00E67065" w:rsidP="00E67065">
      <w:pPr>
        <w:rPr>
          <w:iCs/>
          <w:sz w:val="23"/>
          <w:szCs w:val="23"/>
        </w:rPr>
      </w:pPr>
      <w:r>
        <w:rPr>
          <w:b/>
          <w:sz w:val="23"/>
          <w:szCs w:val="23"/>
        </w:rPr>
        <w:lastRenderedPageBreak/>
        <w:t>Hva innebærer det å delta?</w:t>
      </w:r>
      <w:r>
        <w:rPr>
          <w:sz w:val="23"/>
          <w:szCs w:val="23"/>
        </w:rPr>
        <w:br/>
      </w:r>
      <w:bookmarkStart w:id="3" w:name="OLE_LINK19"/>
      <w:bookmarkStart w:id="4" w:name="OLE_LINK20"/>
      <w:r>
        <w:rPr>
          <w:sz w:val="23"/>
          <w:szCs w:val="23"/>
        </w:rPr>
        <w:t>I denne studien VELGER DU mellom standard og alternativ metode og DU VELGER tidspunk</w:t>
      </w:r>
      <w:r w:rsidR="00252B29">
        <w:rPr>
          <w:sz w:val="23"/>
          <w:szCs w:val="23"/>
        </w:rPr>
        <w:t xml:space="preserve">t for operasjonen/operasjonene. </w:t>
      </w:r>
      <w:r>
        <w:rPr>
          <w:sz w:val="23"/>
          <w:szCs w:val="23"/>
        </w:rPr>
        <w:br/>
        <w:t>Du velger mellom de to metodene:</w:t>
      </w:r>
      <w:r>
        <w:rPr>
          <w:sz w:val="23"/>
          <w:szCs w:val="23"/>
        </w:rPr>
        <w:br/>
      </w:r>
      <w:r>
        <w:rPr>
          <w:b/>
          <w:sz w:val="23"/>
          <w:szCs w:val="23"/>
        </w:rPr>
        <w:t>Standard metode</w:t>
      </w:r>
      <w:r>
        <w:rPr>
          <w:sz w:val="23"/>
          <w:szCs w:val="23"/>
        </w:rPr>
        <w:t xml:space="preserve">: samtidig fjerning av eggstokkene og egglederne. Dette anbefales mellom 35 og 40 år for kvinner med genfeil i </w:t>
      </w:r>
      <w:r>
        <w:rPr>
          <w:iCs/>
          <w:sz w:val="23"/>
          <w:szCs w:val="23"/>
        </w:rPr>
        <w:t>BRCA1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og mellom 40 og 45 år for kvinner med genfeil i </w:t>
      </w:r>
      <w:r>
        <w:rPr>
          <w:iCs/>
          <w:sz w:val="23"/>
          <w:szCs w:val="23"/>
        </w:rPr>
        <w:t>BRCA2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</w:r>
      <w:r>
        <w:rPr>
          <w:b/>
          <w:sz w:val="23"/>
          <w:szCs w:val="23"/>
        </w:rPr>
        <w:t>Alternativ metode</w:t>
      </w:r>
      <w:r>
        <w:rPr>
          <w:sz w:val="23"/>
          <w:szCs w:val="23"/>
        </w:rPr>
        <w:t xml:space="preserve">: først fjerning av egglederne etter fullførte ønskede fødsler, og fjerning av eggstokkene senere med en ny operasjon. I studien anbefaler vi at den andre operasjonen for å fjerne eggstokkene skjer ved en maksimal alder på 45 år ved genfeil i </w:t>
      </w:r>
      <w:r>
        <w:rPr>
          <w:iCs/>
          <w:sz w:val="23"/>
          <w:szCs w:val="23"/>
        </w:rPr>
        <w:t>BRCA1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og 50 år ved genfeil i </w:t>
      </w:r>
      <w:r>
        <w:rPr>
          <w:iCs/>
          <w:sz w:val="23"/>
          <w:szCs w:val="23"/>
        </w:rPr>
        <w:t>BRCA2</w:t>
      </w:r>
      <w:bookmarkEnd w:id="3"/>
      <w:bookmarkEnd w:id="4"/>
      <w:r>
        <w:rPr>
          <w:i/>
          <w:iCs/>
          <w:sz w:val="23"/>
          <w:szCs w:val="23"/>
        </w:rPr>
        <w:t>.</w:t>
      </w:r>
    </w:p>
    <w:p w14:paraId="63C58193" w14:textId="5AA40606" w:rsidR="00A71D53" w:rsidRDefault="00252B29">
      <w:r w:rsidRPr="00252B29">
        <w:rPr>
          <w:b/>
        </w:rPr>
        <w:t>Ønsker du å delta i studien</w:t>
      </w:r>
      <w:r>
        <w:rPr>
          <w:b/>
        </w:rPr>
        <w:t xml:space="preserve"> eller ønsker du mer informasjon</w:t>
      </w:r>
      <w:r w:rsidRPr="00252B29">
        <w:rPr>
          <w:b/>
        </w:rPr>
        <w:t>?</w:t>
      </w:r>
      <w:r>
        <w:br/>
        <w:t xml:space="preserve">Det er frivillig å delta i studien. </w:t>
      </w:r>
      <w:r w:rsidR="0036284A">
        <w:t xml:space="preserve">For å bestemme deg for om du vil delta eller ikke, trenger du sannsynligvis mer informasjon. </w:t>
      </w:r>
      <w:r w:rsidR="00E40541" w:rsidRPr="00C1493F">
        <w:t xml:space="preserve">Du kan henvises </w:t>
      </w:r>
      <w:r w:rsidR="0036284A" w:rsidRPr="00C1493F">
        <w:t>til gynekologisk avdeling ved Oslo</w:t>
      </w:r>
      <w:r w:rsidR="00DE14E6" w:rsidRPr="00C1493F">
        <w:t xml:space="preserve"> eller Stavanger</w:t>
      </w:r>
      <w:r w:rsidR="0036284A" w:rsidRPr="00C1493F">
        <w:t xml:space="preserve"> universitetssykehus.</w:t>
      </w:r>
      <w:r w:rsidR="0036284A">
        <w:t xml:space="preserve"> Du vil da få tilbud om en time ved poliklinikken deres og du vil få mer informasjon </w:t>
      </w:r>
      <w:r w:rsidR="00395648">
        <w:t xml:space="preserve">om </w:t>
      </w:r>
      <w:r w:rsidR="0036284A">
        <w:t>hva det innebærer å delta i TUBA-WISP II-studien.</w:t>
      </w:r>
      <w:r w:rsidR="00C406C9">
        <w:t xml:space="preserve"> </w:t>
      </w:r>
    </w:p>
    <w:p w14:paraId="2B08D000" w14:textId="3EC6B0C1" w:rsidR="0036284A" w:rsidRDefault="00B00CD5">
      <w:r>
        <w:t xml:space="preserve">Du trenger altså ikke </w:t>
      </w:r>
      <w:r w:rsidR="001166A7">
        <w:t xml:space="preserve">å </w:t>
      </w:r>
      <w:r>
        <w:t>ha bestemt for om du ønsker å delta</w:t>
      </w:r>
      <w:r w:rsidR="001166A7">
        <w:t xml:space="preserve"> i studien for å bli henvist. </w:t>
      </w:r>
      <w:r w:rsidR="00C406C9" w:rsidRPr="00C1493F">
        <w:t>Dersom du ønsker å bli henvist til dette</w:t>
      </w:r>
      <w:r w:rsidR="00C1493F">
        <w:t xml:space="preserve">, kan du be om henvisning fra fastlege, gynekolog eller avdelingen du </w:t>
      </w:r>
      <w:r w:rsidR="00585C34">
        <w:t xml:space="preserve">har fått genetisk veiledning ved. </w:t>
      </w:r>
    </w:p>
    <w:p w14:paraId="0C20638C" w14:textId="77777777" w:rsidR="004526E2" w:rsidRDefault="004526E2" w:rsidP="004526E2">
      <w:r>
        <w:t>Hvis du har noen spørsmål, kan du ta kontakt med TUBA-WISP II-studieteam</w:t>
      </w:r>
      <w:r w:rsidRPr="00C1493F">
        <w:t>et v/ Helene Borgan, Avd. for gynekologisk kreft, Oslo universitetssykehus, Radiumhospitalet, telefon 22 93 51 49.</w:t>
      </w:r>
    </w:p>
    <w:p w14:paraId="3A973B64" w14:textId="77777777" w:rsidR="00585C34" w:rsidRDefault="00585C34">
      <w:pPr>
        <w:rPr>
          <w:b/>
        </w:rPr>
      </w:pPr>
    </w:p>
    <w:p w14:paraId="20A9F3C5" w14:textId="61880791" w:rsidR="00CD7304" w:rsidRDefault="000876EE">
      <w:r w:rsidRPr="00C1493F">
        <w:t xml:space="preserve">Du kan finne mer informasjon om studien på </w:t>
      </w:r>
      <w:r w:rsidR="00CB5C33" w:rsidRPr="00C1493F">
        <w:t>Oslo universitetssykehus sine hjemmesider</w:t>
      </w:r>
      <w:r w:rsidR="00011CA4" w:rsidRPr="00C1493F">
        <w:t xml:space="preserve">, </w:t>
      </w:r>
      <w:hyperlink r:id="rId6" w:history="1">
        <w:r w:rsidR="00CD7304" w:rsidRPr="00C1493F">
          <w:rPr>
            <w:rStyle w:val="Hyperkobling"/>
          </w:rPr>
          <w:t>www.oslo-universitetssykehus.no/arveligkreft</w:t>
        </w:r>
      </w:hyperlink>
      <w:r w:rsidR="00011CA4" w:rsidRPr="00C1493F">
        <w:rPr>
          <w:rStyle w:val="Hyperkobling"/>
        </w:rPr>
        <w:t>.</w:t>
      </w:r>
    </w:p>
    <w:p w14:paraId="32F98D3B" w14:textId="77777777" w:rsidR="00CD7304" w:rsidRDefault="00CD7304"/>
    <w:p w14:paraId="2AABE0E9" w14:textId="55FC1536" w:rsidR="00076F0E" w:rsidRDefault="00076F0E">
      <w:r>
        <w:t xml:space="preserve">Vennlig hilsen </w:t>
      </w:r>
    </w:p>
    <w:bookmarkEnd w:id="0"/>
    <w:bookmarkEnd w:id="1"/>
    <w:p w14:paraId="69BD4F06" w14:textId="2B7AB291" w:rsidR="00C1493F" w:rsidRDefault="00C1493F">
      <w:r>
        <w:t>Kvinneklinikken</w:t>
      </w:r>
      <w:r>
        <w:br/>
        <w:t>Stavanger universitetssjukehus</w:t>
      </w:r>
      <w:r>
        <w:br/>
      </w:r>
      <w:r>
        <w:br/>
      </w:r>
      <w:r>
        <w:rPr>
          <w:noProof/>
          <w:lang w:eastAsia="nb-NO"/>
        </w:rPr>
        <w:drawing>
          <wp:inline distT="0" distB="0" distL="0" distR="0" wp14:anchorId="1D213D8B" wp14:editId="1F42C14F">
            <wp:extent cx="3309004" cy="912252"/>
            <wp:effectExtent l="0" t="0" r="0" b="0"/>
            <wp:docPr id="15" name="Bilde 14" descr="https://helse-stavanger.no/seksjon/media/PublishingImages/logo_Helse_Stavanger_norsk_positiv_Window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4" descr="https://helse-stavanger.no/seksjon/media/PublishingImages/logo_Helse_Stavanger_norsk_positiv_Windo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04" cy="9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1E3"/>
    <w:multiLevelType w:val="hybridMultilevel"/>
    <w:tmpl w:val="CDE8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C"/>
    <w:rsid w:val="00011CA4"/>
    <w:rsid w:val="00076F0E"/>
    <w:rsid w:val="000876EE"/>
    <w:rsid w:val="001166A7"/>
    <w:rsid w:val="001850EA"/>
    <w:rsid w:val="001D55DC"/>
    <w:rsid w:val="001F6660"/>
    <w:rsid w:val="00252B29"/>
    <w:rsid w:val="00256FD5"/>
    <w:rsid w:val="002A3754"/>
    <w:rsid w:val="00302CF0"/>
    <w:rsid w:val="0036284A"/>
    <w:rsid w:val="00395648"/>
    <w:rsid w:val="004526E2"/>
    <w:rsid w:val="00585C34"/>
    <w:rsid w:val="00651E7C"/>
    <w:rsid w:val="00696C4A"/>
    <w:rsid w:val="006B3D3C"/>
    <w:rsid w:val="0095708C"/>
    <w:rsid w:val="00957D61"/>
    <w:rsid w:val="00981A44"/>
    <w:rsid w:val="009A6F90"/>
    <w:rsid w:val="00A71D53"/>
    <w:rsid w:val="00AF62A3"/>
    <w:rsid w:val="00B00CD5"/>
    <w:rsid w:val="00B00D64"/>
    <w:rsid w:val="00C1493F"/>
    <w:rsid w:val="00C406C9"/>
    <w:rsid w:val="00C847D6"/>
    <w:rsid w:val="00CB5C33"/>
    <w:rsid w:val="00CD0F8D"/>
    <w:rsid w:val="00CD7304"/>
    <w:rsid w:val="00D71264"/>
    <w:rsid w:val="00DC504D"/>
    <w:rsid w:val="00DE14E6"/>
    <w:rsid w:val="00E40541"/>
    <w:rsid w:val="00E67065"/>
    <w:rsid w:val="00E91C9E"/>
    <w:rsid w:val="00EB462A"/>
    <w:rsid w:val="00EF2348"/>
    <w:rsid w:val="00F038A9"/>
    <w:rsid w:val="00F472A2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59F"/>
  <w15:docId w15:val="{53A54114-B590-449A-8AEB-22DF2DC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06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730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1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o-universitetssykehus.no/arveligkref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Martinussen Tandstad</dc:creator>
  <cp:lastModifiedBy>Hartmann, Kjersti Kleppa</cp:lastModifiedBy>
  <cp:revision>2</cp:revision>
  <dcterms:created xsi:type="dcterms:W3CDTF">2023-05-09T06:17:00Z</dcterms:created>
  <dcterms:modified xsi:type="dcterms:W3CDTF">2023-05-09T06:17:00Z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2023-05-09T06:17:07Z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024c6426-4ec5-49f0-b2fb-a2d9dfcfd892</vt:lpwstr>
  </property>
  <property fmtid="{D5CDD505-2E9C-101B-9397-08002B2CF9AE}" pid="8" name="MSIP_Label_0c3ffc1c-ef00-4620-9c2f-7d9c1597774b_ContentBits">
    <vt:lpwstr>2</vt:lpwstr>
  </property>
</Properties>
</file>